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A7" w:rsidRPr="004F7E9E" w:rsidRDefault="00A56CAA" w:rsidP="004F7E9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F7E9E">
        <w:rPr>
          <w:rFonts w:ascii="標楷體" w:eastAsia="標楷體" w:hAnsi="標楷體" w:hint="eastAsia"/>
          <w:b/>
          <w:sz w:val="32"/>
          <w:szCs w:val="32"/>
          <w:lang w:eastAsia="zh-HK"/>
        </w:rPr>
        <w:t>國</w:t>
      </w:r>
      <w:r w:rsidR="00F71BFC" w:rsidRPr="004F7E9E">
        <w:rPr>
          <w:rFonts w:ascii="標楷體" w:eastAsia="標楷體" w:hAnsi="標楷體" w:hint="eastAsia"/>
          <w:b/>
          <w:sz w:val="32"/>
          <w:szCs w:val="32"/>
          <w:lang w:eastAsia="zh-HK"/>
        </w:rPr>
        <w:t>立</w:t>
      </w:r>
      <w:r w:rsidRPr="004F7E9E">
        <w:rPr>
          <w:rFonts w:ascii="標楷體" w:eastAsia="標楷體" w:hAnsi="標楷體" w:hint="eastAsia"/>
          <w:b/>
          <w:sz w:val="32"/>
          <w:szCs w:val="32"/>
          <w:lang w:eastAsia="zh-HK"/>
        </w:rPr>
        <w:t>臺灣戲曲學院</w:t>
      </w:r>
      <w:r w:rsidR="001B7BA5" w:rsidRPr="004F7E9E">
        <w:rPr>
          <w:rFonts w:ascii="標楷體" w:eastAsia="標楷體" w:hAnsi="標楷體" w:hint="eastAsia"/>
          <w:b/>
          <w:sz w:val="32"/>
          <w:szCs w:val="32"/>
        </w:rPr>
        <w:t>「演藝收入收支管理規定」</w:t>
      </w:r>
    </w:p>
    <w:p w:rsidR="00AC6ED3" w:rsidRPr="008A5634" w:rsidRDefault="00AC6ED3" w:rsidP="00CE0A25">
      <w:pPr>
        <w:wordWrap w:val="0"/>
        <w:jc w:val="right"/>
        <w:rPr>
          <w:rFonts w:ascii="標楷體" w:eastAsia="標楷體" w:hAnsi="標楷體"/>
          <w:szCs w:val="24"/>
        </w:rPr>
      </w:pPr>
      <w:r w:rsidRPr="008A5634">
        <w:rPr>
          <w:rFonts w:ascii="標楷體" w:eastAsia="標楷體" w:hAnsi="標楷體" w:hint="eastAsia"/>
          <w:szCs w:val="24"/>
        </w:rPr>
        <w:t>105</w:t>
      </w:r>
      <w:r w:rsidRPr="008A5634">
        <w:rPr>
          <w:rFonts w:ascii="標楷體" w:eastAsia="標楷體" w:hAnsi="標楷體"/>
          <w:szCs w:val="24"/>
        </w:rPr>
        <w:t xml:space="preserve"> 年 </w:t>
      </w:r>
      <w:r w:rsidR="00464548" w:rsidRPr="008A5634">
        <w:rPr>
          <w:rFonts w:ascii="標楷體" w:eastAsia="標楷體" w:hAnsi="標楷體" w:hint="eastAsia"/>
          <w:szCs w:val="24"/>
        </w:rPr>
        <w:t>11</w:t>
      </w:r>
      <w:r w:rsidRPr="008A5634">
        <w:rPr>
          <w:rFonts w:ascii="標楷體" w:eastAsia="標楷體" w:hAnsi="標楷體"/>
          <w:szCs w:val="24"/>
        </w:rPr>
        <w:t xml:space="preserve"> 月</w:t>
      </w:r>
      <w:r w:rsidR="007E3B78" w:rsidRPr="008A5634">
        <w:rPr>
          <w:rFonts w:ascii="標楷體" w:eastAsia="標楷體" w:hAnsi="標楷體" w:hint="eastAsia"/>
          <w:szCs w:val="24"/>
        </w:rPr>
        <w:t>30</w:t>
      </w:r>
      <w:r w:rsidR="00CE0A25" w:rsidRPr="008A5634">
        <w:rPr>
          <w:rFonts w:ascii="標楷體" w:eastAsia="標楷體" w:hAnsi="標楷體" w:hint="eastAsia"/>
          <w:szCs w:val="24"/>
        </w:rPr>
        <w:t xml:space="preserve"> </w:t>
      </w:r>
      <w:r w:rsidRPr="008A5634">
        <w:rPr>
          <w:rFonts w:ascii="標楷體" w:eastAsia="標楷體" w:hAnsi="標楷體"/>
          <w:szCs w:val="24"/>
        </w:rPr>
        <w:t xml:space="preserve">日 第 </w:t>
      </w:r>
      <w:r w:rsidR="007E3B78" w:rsidRPr="008A5634">
        <w:rPr>
          <w:rFonts w:ascii="標楷體" w:eastAsia="標楷體" w:hAnsi="標楷體" w:hint="eastAsia"/>
          <w:szCs w:val="24"/>
        </w:rPr>
        <w:t>249</w:t>
      </w:r>
      <w:r w:rsidRPr="008A5634">
        <w:rPr>
          <w:rFonts w:ascii="標楷體" w:eastAsia="標楷體" w:hAnsi="標楷體"/>
          <w:szCs w:val="24"/>
        </w:rPr>
        <w:t xml:space="preserve"> 次行政會議通過</w:t>
      </w:r>
    </w:p>
    <w:p w:rsidR="00AC6ED3" w:rsidRPr="008A5634" w:rsidRDefault="00AC6ED3" w:rsidP="008A5634">
      <w:pPr>
        <w:spacing w:beforeLines="25" w:before="90" w:line="260" w:lineRule="exact"/>
        <w:ind w:leftChars="1063" w:left="2551"/>
        <w:jc w:val="center"/>
        <w:rPr>
          <w:rFonts w:ascii="標楷體" w:eastAsia="標楷體" w:hAnsi="標楷體"/>
          <w:szCs w:val="24"/>
        </w:rPr>
      </w:pPr>
      <w:r w:rsidRPr="008A5634">
        <w:rPr>
          <w:rFonts w:ascii="標楷體" w:eastAsia="標楷體" w:hAnsi="標楷體" w:hint="eastAsia"/>
          <w:sz w:val="22"/>
        </w:rPr>
        <w:t xml:space="preserve">105年 </w:t>
      </w:r>
      <w:r w:rsidR="008A5634" w:rsidRPr="008A5634">
        <w:rPr>
          <w:rFonts w:ascii="標楷體" w:eastAsia="標楷體" w:hAnsi="標楷體" w:hint="eastAsia"/>
          <w:sz w:val="22"/>
        </w:rPr>
        <w:t>12</w:t>
      </w:r>
      <w:r w:rsidRPr="008A5634">
        <w:rPr>
          <w:rFonts w:ascii="標楷體" w:eastAsia="標楷體" w:hAnsi="標楷體"/>
          <w:sz w:val="22"/>
        </w:rPr>
        <w:t xml:space="preserve"> 月</w:t>
      </w:r>
      <w:r w:rsidR="008A5634" w:rsidRPr="008A5634">
        <w:rPr>
          <w:rFonts w:ascii="標楷體" w:eastAsia="標楷體" w:hAnsi="標楷體" w:hint="eastAsia"/>
          <w:sz w:val="22"/>
        </w:rPr>
        <w:t>28</w:t>
      </w:r>
      <w:r w:rsidRPr="008A5634">
        <w:rPr>
          <w:rFonts w:ascii="標楷體" w:eastAsia="標楷體" w:hAnsi="標楷體"/>
          <w:sz w:val="22"/>
        </w:rPr>
        <w:t xml:space="preserve"> 日 </w:t>
      </w:r>
      <w:bookmarkStart w:id="0" w:name="_GoBack"/>
      <w:bookmarkEnd w:id="0"/>
      <w:r w:rsidRPr="008A5634">
        <w:rPr>
          <w:rFonts w:ascii="標楷體" w:eastAsia="標楷體" w:hAnsi="標楷體"/>
          <w:sz w:val="22"/>
        </w:rPr>
        <w:t xml:space="preserve">第 </w:t>
      </w:r>
      <w:r w:rsidR="008A5634" w:rsidRPr="008A5634">
        <w:rPr>
          <w:rFonts w:ascii="標楷體" w:eastAsia="標楷體" w:hAnsi="標楷體" w:hint="eastAsia"/>
          <w:sz w:val="22"/>
        </w:rPr>
        <w:t>45</w:t>
      </w:r>
      <w:r w:rsidRPr="008A5634">
        <w:rPr>
          <w:rFonts w:ascii="標楷體" w:eastAsia="標楷體" w:hAnsi="標楷體"/>
          <w:sz w:val="22"/>
        </w:rPr>
        <w:t xml:space="preserve"> 次</w:t>
      </w:r>
      <w:r w:rsidRPr="008A5634">
        <w:rPr>
          <w:rFonts w:ascii="標楷體" w:eastAsia="標楷體" w:hAnsi="標楷體" w:hint="eastAsia"/>
          <w:sz w:val="22"/>
        </w:rPr>
        <w:t>校務基金管理委員會</w:t>
      </w:r>
      <w:r w:rsidR="008A5634" w:rsidRPr="008A5634">
        <w:rPr>
          <w:rFonts w:ascii="標楷體" w:eastAsia="標楷體" w:hAnsi="標楷體" w:hint="eastAsia"/>
          <w:sz w:val="22"/>
          <w:lang w:eastAsia="zh-HK"/>
        </w:rPr>
        <w:t>審議</w:t>
      </w:r>
      <w:r w:rsidR="008A5634">
        <w:rPr>
          <w:rFonts w:ascii="標楷體" w:eastAsia="標楷體" w:hAnsi="標楷體" w:hint="eastAsia"/>
          <w:szCs w:val="24"/>
          <w:lang w:eastAsia="zh-HK"/>
        </w:rPr>
        <w:t>通過</w:t>
      </w:r>
    </w:p>
    <w:p w:rsidR="001B7BA5" w:rsidRDefault="001B7BA5" w:rsidP="00CC1D2C">
      <w:pPr>
        <w:pStyle w:val="a3"/>
        <w:numPr>
          <w:ilvl w:val="0"/>
          <w:numId w:val="4"/>
        </w:numPr>
        <w:spacing w:line="44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1B7BA5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為加強本校演藝業務之推動與管理，並使各項演藝收入及支出作業有所依循，</w:t>
      </w:r>
      <w:r w:rsidRPr="001B7BA5">
        <w:rPr>
          <w:rFonts w:ascii="標楷體" w:eastAsia="標楷體" w:hAnsi="標楷體" w:hint="eastAsia"/>
          <w:sz w:val="28"/>
          <w:szCs w:val="28"/>
        </w:rPr>
        <w:t>依據「</w:t>
      </w:r>
      <w:r w:rsidRPr="001B7BA5">
        <w:rPr>
          <w:rFonts w:ascii="標楷體" w:eastAsia="標楷體" w:hAnsi="標楷體" w:hint="eastAsia"/>
          <w:sz w:val="28"/>
          <w:szCs w:val="28"/>
          <w:u w:val="single"/>
        </w:rPr>
        <w:t>國立臺灣戲曲學院校務基金自籌收入收支管理準則</w:t>
      </w:r>
      <w:r w:rsidRPr="001B7BA5">
        <w:rPr>
          <w:rFonts w:ascii="標楷體" w:eastAsia="標楷體" w:hAnsi="標楷體" w:hint="eastAsia"/>
          <w:sz w:val="28"/>
          <w:szCs w:val="28"/>
        </w:rPr>
        <w:t>」</w:t>
      </w:r>
      <w:r w:rsidRPr="00144770">
        <w:rPr>
          <w:rFonts w:ascii="標楷體" w:eastAsia="標楷體" w:hAnsi="標楷體" w:hint="eastAsia"/>
          <w:sz w:val="28"/>
          <w:szCs w:val="28"/>
          <w:u w:val="single"/>
        </w:rPr>
        <w:t>第</w:t>
      </w:r>
      <w:r w:rsidRPr="005100EB">
        <w:rPr>
          <w:rFonts w:ascii="標楷體" w:eastAsia="標楷體" w:hAnsi="標楷體" w:hint="eastAsia"/>
          <w:sz w:val="28"/>
          <w:szCs w:val="28"/>
          <w:u w:val="single"/>
        </w:rPr>
        <w:t>2條</w:t>
      </w:r>
      <w:r w:rsidRPr="00144770">
        <w:rPr>
          <w:rFonts w:ascii="標楷體" w:eastAsia="標楷體" w:hAnsi="標楷體" w:hint="eastAsia"/>
          <w:sz w:val="28"/>
          <w:szCs w:val="28"/>
        </w:rPr>
        <w:t>規定訂定之。</w:t>
      </w:r>
    </w:p>
    <w:p w:rsidR="001B7BA5" w:rsidRPr="00CC1D2C" w:rsidRDefault="001B7BA5" w:rsidP="00CC1D2C">
      <w:pPr>
        <w:pStyle w:val="a3"/>
        <w:numPr>
          <w:ilvl w:val="0"/>
          <w:numId w:val="4"/>
        </w:numPr>
        <w:spacing w:line="440" w:lineRule="exact"/>
        <w:ind w:leftChars="0" w:left="709" w:hanging="709"/>
        <w:rPr>
          <w:rFonts w:ascii="標楷體" w:eastAsia="標楷體" w:hAnsi="標楷體"/>
          <w:snapToGrid w:val="0"/>
          <w:spacing w:val="-14"/>
          <w:kern w:val="18"/>
          <w:sz w:val="28"/>
          <w:szCs w:val="28"/>
        </w:rPr>
      </w:pPr>
      <w:r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演藝</w:t>
      </w:r>
      <w:r w:rsidRPr="00EF6574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業務</w:t>
      </w:r>
      <w:r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經費</w:t>
      </w:r>
      <w:r w:rsidRPr="00144770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收</w:t>
      </w:r>
      <w:r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支之執行，除法令另有規定外，依本規定辦理。</w:t>
      </w:r>
    </w:p>
    <w:p w:rsidR="001B7BA5" w:rsidRPr="001B7BA5" w:rsidRDefault="001B7BA5" w:rsidP="00CC1D2C">
      <w:pPr>
        <w:pStyle w:val="a3"/>
        <w:numPr>
          <w:ilvl w:val="0"/>
          <w:numId w:val="4"/>
        </w:numPr>
        <w:spacing w:line="44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5100EB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本規定所稱演藝業務案係指本校</w:t>
      </w:r>
      <w:r w:rsidRPr="00EF6574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京劇團、綜藝團</w:t>
      </w:r>
      <w:r w:rsidRPr="005100EB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為</w:t>
      </w:r>
      <w:r w:rsidRPr="007F517B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外界</w:t>
      </w:r>
      <w:r w:rsidRPr="005100EB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提供各項服務，其範圍如下：</w:t>
      </w:r>
    </w:p>
    <w:p w:rsidR="001B7BA5" w:rsidRDefault="001B7BA5" w:rsidP="00CC1D2C">
      <w:pPr>
        <w:pStyle w:val="a3"/>
        <w:numPr>
          <w:ilvl w:val="0"/>
          <w:numId w:val="2"/>
        </w:numPr>
        <w:spacing w:line="440" w:lineRule="exact"/>
        <w:ind w:leftChars="0" w:left="1134" w:hanging="850"/>
        <w:rPr>
          <w:rFonts w:ascii="標楷體" w:eastAsia="標楷體" w:hAnsi="標楷體"/>
          <w:snapToGrid w:val="0"/>
          <w:spacing w:val="-14"/>
          <w:kern w:val="18"/>
          <w:sz w:val="28"/>
          <w:szCs w:val="28"/>
        </w:rPr>
      </w:pPr>
      <w:r w:rsidRPr="007F517B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辦理各類展演活動及設計、應邀演</w:t>
      </w:r>
      <w:r w:rsidRPr="00626289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出、專業技術執行服務等事宜</w:t>
      </w:r>
      <w:r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。</w:t>
      </w:r>
    </w:p>
    <w:p w:rsidR="001B7BA5" w:rsidRDefault="001B7BA5" w:rsidP="00CC1D2C">
      <w:pPr>
        <w:pStyle w:val="a3"/>
        <w:numPr>
          <w:ilvl w:val="0"/>
          <w:numId w:val="2"/>
        </w:numPr>
        <w:spacing w:line="440" w:lineRule="exact"/>
        <w:ind w:leftChars="0" w:left="1134" w:hanging="850"/>
        <w:rPr>
          <w:rFonts w:ascii="標楷體" w:eastAsia="標楷體" w:hAnsi="標楷體"/>
          <w:snapToGrid w:val="0"/>
          <w:spacing w:val="-14"/>
          <w:kern w:val="18"/>
          <w:sz w:val="28"/>
          <w:szCs w:val="28"/>
        </w:rPr>
      </w:pPr>
      <w:r w:rsidRPr="007F517B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辦理其他與演藝業務有關事項。</w:t>
      </w:r>
    </w:p>
    <w:p w:rsidR="001B7BA5" w:rsidRPr="00CC1D2C" w:rsidRDefault="001B7BA5" w:rsidP="00CC1D2C">
      <w:pPr>
        <w:pStyle w:val="a3"/>
        <w:numPr>
          <w:ilvl w:val="0"/>
          <w:numId w:val="4"/>
        </w:numPr>
        <w:spacing w:line="44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1B7BA5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辦理演藝業務，其經費收支運用及</w:t>
      </w:r>
      <w:r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  <w:lang w:eastAsia="zh-HK"/>
        </w:rPr>
        <w:t>報支</w:t>
      </w:r>
      <w:r w:rsidRPr="001B7BA5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應依</w:t>
      </w:r>
      <w:r w:rsidRPr="00284858">
        <w:rPr>
          <w:rFonts w:ascii="標楷體" w:eastAsia="標楷體" w:hAnsi="標楷體" w:hint="eastAsia"/>
          <w:sz w:val="28"/>
          <w:szCs w:val="28"/>
          <w:u w:val="single"/>
        </w:rPr>
        <w:t>委託辦理演出單位</w:t>
      </w:r>
      <w:r w:rsidRPr="00284858">
        <w:rPr>
          <w:rFonts w:ascii="標楷體" w:eastAsia="標楷體" w:hAnsi="標楷體" w:hint="eastAsia"/>
          <w:sz w:val="28"/>
          <w:szCs w:val="28"/>
        </w:rPr>
        <w:t>之</w:t>
      </w:r>
      <w:r w:rsidRPr="001B7BA5">
        <w:rPr>
          <w:rFonts w:ascii="標楷體" w:eastAsia="標楷體" w:hAnsi="標楷體" w:hint="eastAsia"/>
          <w:sz w:val="28"/>
          <w:szCs w:val="28"/>
        </w:rPr>
        <w:t>規定或契約、本校會計程序及有關法令規定辦理，</w:t>
      </w:r>
      <w:r w:rsidRPr="001B7BA5">
        <w:rPr>
          <w:rFonts w:ascii="標楷體" w:eastAsia="標楷體" w:hAnsi="標楷體" w:hint="eastAsia"/>
          <w:sz w:val="28"/>
          <w:szCs w:val="28"/>
          <w:u w:val="single"/>
        </w:rPr>
        <w:t>並應合理控制成本</w:t>
      </w:r>
      <w:r w:rsidRPr="001B7BA5">
        <w:rPr>
          <w:rFonts w:ascii="標楷體" w:eastAsia="標楷體" w:hAnsi="標楷體" w:hint="eastAsia"/>
          <w:sz w:val="28"/>
          <w:szCs w:val="28"/>
        </w:rPr>
        <w:t>，以有賸餘為原則。</w:t>
      </w:r>
    </w:p>
    <w:p w:rsidR="001B7BA5" w:rsidRPr="00CC1D2C" w:rsidRDefault="001B7BA5" w:rsidP="002316B7">
      <w:pPr>
        <w:pStyle w:val="a3"/>
        <w:numPr>
          <w:ilvl w:val="0"/>
          <w:numId w:val="4"/>
        </w:numPr>
        <w:spacing w:line="440" w:lineRule="exact"/>
        <w:ind w:leftChars="0" w:left="709" w:hanging="709"/>
        <w:rPr>
          <w:rFonts w:ascii="標楷體" w:eastAsia="標楷體" w:hAnsi="標楷體"/>
          <w:dstrike/>
          <w:snapToGrid w:val="0"/>
          <w:spacing w:val="-14"/>
          <w:kern w:val="18"/>
          <w:sz w:val="28"/>
          <w:szCs w:val="28"/>
        </w:rPr>
      </w:pPr>
      <w:r w:rsidRPr="00C40E79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演藝業務案</w:t>
      </w:r>
      <w:proofErr w:type="gramStart"/>
      <w:r w:rsidRPr="00C40E79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收支均應納入</w:t>
      </w:r>
      <w:proofErr w:type="gramEnd"/>
      <w:r w:rsidRPr="00C40E79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校務基金管理，</w:t>
      </w:r>
      <w:r w:rsidR="00C40E79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並應分攤本校水電費、大樓清潔費、垃圾清運費及折舊費用等行政管理成本，不再另行提列行政管理費。</w:t>
      </w:r>
    </w:p>
    <w:p w:rsidR="00246F56" w:rsidRPr="00246F56" w:rsidRDefault="00246F56" w:rsidP="00CC1D2C">
      <w:pPr>
        <w:pStyle w:val="a3"/>
        <w:numPr>
          <w:ilvl w:val="0"/>
          <w:numId w:val="4"/>
        </w:numPr>
        <w:spacing w:line="44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246F56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演藝業務經費之支用範圍如下：</w:t>
      </w:r>
    </w:p>
    <w:p w:rsidR="00246F56" w:rsidRPr="00CC1D2C" w:rsidRDefault="00246F56" w:rsidP="00CC1D2C">
      <w:pPr>
        <w:pStyle w:val="a3"/>
        <w:numPr>
          <w:ilvl w:val="0"/>
          <w:numId w:val="20"/>
        </w:numPr>
        <w:spacing w:line="440" w:lineRule="exact"/>
        <w:ind w:leftChars="0" w:left="1134" w:hanging="850"/>
        <w:rPr>
          <w:rFonts w:ascii="標楷體" w:eastAsia="標楷體" w:hAnsi="標楷體"/>
          <w:snapToGrid w:val="0"/>
          <w:spacing w:val="-14"/>
          <w:kern w:val="18"/>
          <w:sz w:val="28"/>
          <w:szCs w:val="28"/>
        </w:rPr>
      </w:pPr>
      <w:r w:rsidRPr="00EF6574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技藝提升教學費用：</w:t>
      </w:r>
      <w:r w:rsidRPr="00CC1D2C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含講座鐘點費、教材編輯費、助理鐘點費、交通費</w:t>
      </w:r>
      <w:r w:rsidRPr="00CC1D2C">
        <w:rPr>
          <w:rFonts w:ascii="標楷體" w:eastAsia="標楷體" w:hAnsi="標楷體"/>
          <w:snapToGrid w:val="0"/>
          <w:spacing w:val="-14"/>
          <w:kern w:val="18"/>
          <w:sz w:val="28"/>
          <w:szCs w:val="28"/>
        </w:rPr>
        <w:t>…</w:t>
      </w:r>
      <w:r w:rsidRPr="00CC1D2C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等。</w:t>
      </w:r>
    </w:p>
    <w:p w:rsidR="00246F56" w:rsidRPr="00CC1D2C" w:rsidRDefault="00246F56" w:rsidP="00CC1D2C">
      <w:pPr>
        <w:pStyle w:val="a3"/>
        <w:numPr>
          <w:ilvl w:val="0"/>
          <w:numId w:val="20"/>
        </w:numPr>
        <w:spacing w:line="440" w:lineRule="exact"/>
        <w:ind w:leftChars="0" w:left="1134" w:hanging="850"/>
        <w:rPr>
          <w:rFonts w:ascii="標楷體" w:eastAsia="標楷體" w:hAnsi="標楷體"/>
          <w:snapToGrid w:val="0"/>
          <w:spacing w:val="-14"/>
          <w:kern w:val="18"/>
          <w:sz w:val="28"/>
          <w:szCs w:val="28"/>
        </w:rPr>
      </w:pPr>
      <w:r w:rsidRPr="00CC1D2C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展演活動費用：委外辦理費用或依本校展演酬勞標準支付費用或實習津貼等。</w:t>
      </w:r>
    </w:p>
    <w:p w:rsidR="002316B7" w:rsidRDefault="00246F56" w:rsidP="00CC1D2C">
      <w:pPr>
        <w:pStyle w:val="a3"/>
        <w:numPr>
          <w:ilvl w:val="0"/>
          <w:numId w:val="20"/>
        </w:numPr>
        <w:spacing w:line="440" w:lineRule="exact"/>
        <w:ind w:leftChars="0" w:left="1134" w:hanging="850"/>
        <w:rPr>
          <w:rFonts w:ascii="標楷體" w:eastAsia="標楷體" w:hAnsi="標楷體"/>
          <w:snapToGrid w:val="0"/>
          <w:spacing w:val="-14"/>
          <w:kern w:val="18"/>
          <w:sz w:val="28"/>
          <w:szCs w:val="28"/>
        </w:rPr>
      </w:pPr>
      <w:r w:rsidRPr="002316B7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展演設備購置費用：</w:t>
      </w:r>
      <w:proofErr w:type="gramStart"/>
      <w:r w:rsidRPr="002316B7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含展演所</w:t>
      </w:r>
      <w:proofErr w:type="gramEnd"/>
      <w:r w:rsidRPr="002316B7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需之相關</w:t>
      </w:r>
      <w:r w:rsidR="00CC1D2C" w:rsidRPr="002316B7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服裝、</w:t>
      </w:r>
      <w:r w:rsidRPr="002316B7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設備</w:t>
      </w:r>
      <w:r w:rsidR="00CC1D2C" w:rsidRPr="002316B7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等。</w:t>
      </w:r>
    </w:p>
    <w:p w:rsidR="00246F56" w:rsidRPr="002316B7" w:rsidRDefault="00246F56" w:rsidP="00CC1D2C">
      <w:pPr>
        <w:pStyle w:val="a3"/>
        <w:numPr>
          <w:ilvl w:val="0"/>
          <w:numId w:val="20"/>
        </w:numPr>
        <w:spacing w:line="440" w:lineRule="exact"/>
        <w:ind w:leftChars="0" w:left="1134" w:hanging="850"/>
        <w:rPr>
          <w:rFonts w:ascii="標楷體" w:eastAsia="標楷體" w:hAnsi="標楷體"/>
          <w:snapToGrid w:val="0"/>
          <w:spacing w:val="-14"/>
          <w:kern w:val="18"/>
          <w:sz w:val="28"/>
          <w:szCs w:val="28"/>
        </w:rPr>
      </w:pPr>
      <w:r w:rsidRPr="002316B7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展演行政業務費用</w:t>
      </w:r>
      <w:r w:rsidR="00CC1D2C" w:rsidRPr="002316B7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：</w:t>
      </w:r>
      <w:r w:rsidRPr="002316B7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含事務費、宣傳費、郵電費、文具紙張費、旅運費、場地設備維護費及雜支</w:t>
      </w:r>
      <w:r w:rsidRPr="002316B7">
        <w:rPr>
          <w:rFonts w:ascii="標楷體" w:eastAsia="標楷體" w:hAnsi="標楷體"/>
          <w:snapToGrid w:val="0"/>
          <w:spacing w:val="-14"/>
          <w:kern w:val="18"/>
          <w:sz w:val="28"/>
          <w:szCs w:val="28"/>
        </w:rPr>
        <w:t>…</w:t>
      </w:r>
      <w:r w:rsidRPr="002316B7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等。</w:t>
      </w:r>
    </w:p>
    <w:p w:rsidR="00246F56" w:rsidRDefault="00246F56" w:rsidP="00CC1D2C">
      <w:pPr>
        <w:pStyle w:val="a3"/>
        <w:numPr>
          <w:ilvl w:val="0"/>
          <w:numId w:val="20"/>
        </w:numPr>
        <w:spacing w:line="440" w:lineRule="exact"/>
        <w:ind w:leftChars="0" w:left="1134" w:hanging="850"/>
        <w:rPr>
          <w:rFonts w:ascii="標楷體" w:eastAsia="標楷體" w:hAnsi="標楷體"/>
          <w:sz w:val="28"/>
          <w:szCs w:val="28"/>
        </w:rPr>
      </w:pPr>
      <w:r w:rsidRPr="00CC1D2C">
        <w:rPr>
          <w:rFonts w:ascii="標楷體" w:eastAsia="標楷體" w:hAnsi="標楷體"/>
          <w:snapToGrid w:val="0"/>
          <w:spacing w:val="-14"/>
          <w:kern w:val="18"/>
          <w:sz w:val="28"/>
          <w:szCs w:val="28"/>
        </w:rPr>
        <w:t>其他有</w:t>
      </w:r>
      <w:r w:rsidRPr="00EF6574">
        <w:rPr>
          <w:rFonts w:ascii="標楷體" w:eastAsia="標楷體" w:hAnsi="標楷體"/>
          <w:sz w:val="28"/>
          <w:szCs w:val="28"/>
        </w:rPr>
        <w:t>助於</w:t>
      </w:r>
      <w:r w:rsidRPr="00EF6574">
        <w:rPr>
          <w:rFonts w:ascii="標楷體" w:eastAsia="標楷體" w:hAnsi="標楷體" w:hint="eastAsia"/>
          <w:sz w:val="28"/>
          <w:szCs w:val="28"/>
        </w:rPr>
        <w:t>團</w:t>
      </w:r>
      <w:proofErr w:type="gramStart"/>
      <w:r w:rsidRPr="00EF6574">
        <w:rPr>
          <w:rFonts w:ascii="標楷體" w:eastAsia="標楷體" w:hAnsi="標楷體"/>
          <w:sz w:val="28"/>
          <w:szCs w:val="28"/>
        </w:rPr>
        <w:t>務</w:t>
      </w:r>
      <w:proofErr w:type="gramEnd"/>
      <w:r w:rsidRPr="00EF6574">
        <w:rPr>
          <w:rFonts w:ascii="標楷體" w:eastAsia="標楷體" w:hAnsi="標楷體"/>
          <w:sz w:val="28"/>
          <w:szCs w:val="28"/>
        </w:rPr>
        <w:t>發展，並經校長核可者之支出。</w:t>
      </w:r>
    </w:p>
    <w:p w:rsidR="00246F56" w:rsidRPr="001A18B4" w:rsidRDefault="00246F56" w:rsidP="00CC1D2C">
      <w:pPr>
        <w:pStyle w:val="a3"/>
        <w:numPr>
          <w:ilvl w:val="0"/>
          <w:numId w:val="4"/>
        </w:numPr>
        <w:spacing w:line="44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演藝業務</w:t>
      </w:r>
      <w:r w:rsidRPr="00626289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經費收支控制與執行：</w:t>
      </w:r>
    </w:p>
    <w:p w:rsidR="00246F56" w:rsidRPr="00CC1D2C" w:rsidRDefault="00246F56" w:rsidP="00CC1D2C">
      <w:pPr>
        <w:pStyle w:val="a3"/>
        <w:numPr>
          <w:ilvl w:val="0"/>
          <w:numId w:val="21"/>
        </w:numPr>
        <w:spacing w:line="440" w:lineRule="exact"/>
        <w:ind w:leftChars="0" w:left="1134" w:hanging="850"/>
        <w:rPr>
          <w:rFonts w:ascii="標楷體" w:eastAsia="標楷體" w:hAnsi="標楷體"/>
          <w:snapToGrid w:val="0"/>
          <w:spacing w:val="-14"/>
          <w:kern w:val="18"/>
          <w:sz w:val="28"/>
          <w:szCs w:val="28"/>
        </w:rPr>
      </w:pPr>
      <w:r w:rsidRPr="00CC1D2C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事前應提出預算表，</w:t>
      </w:r>
      <w:r w:rsidRPr="00246F56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包括</w:t>
      </w:r>
      <w:r w:rsidRPr="004F7E9E">
        <w:rPr>
          <w:rFonts w:ascii="標楷體" w:eastAsia="標楷體" w:hAnsi="標楷體" w:hint="eastAsia"/>
          <w:b/>
          <w:snapToGrid w:val="0"/>
          <w:spacing w:val="-14"/>
          <w:kern w:val="18"/>
          <w:sz w:val="28"/>
          <w:szCs w:val="28"/>
        </w:rPr>
        <w:t>展演工作酬勞</w:t>
      </w:r>
      <w:r w:rsidRPr="00CC1D2C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、業務費、差旅費、雜支</w:t>
      </w:r>
      <w:r w:rsidRPr="00CC1D2C">
        <w:rPr>
          <w:rFonts w:ascii="標楷體" w:eastAsia="標楷體" w:hAnsi="標楷體"/>
          <w:snapToGrid w:val="0"/>
          <w:spacing w:val="-14"/>
          <w:kern w:val="18"/>
          <w:sz w:val="28"/>
          <w:szCs w:val="28"/>
        </w:rPr>
        <w:t>…</w:t>
      </w:r>
      <w:r w:rsidRPr="00CC1D2C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等。</w:t>
      </w:r>
    </w:p>
    <w:p w:rsidR="00246F56" w:rsidRPr="00CC1D2C" w:rsidRDefault="00246F56" w:rsidP="00CC1D2C">
      <w:pPr>
        <w:pStyle w:val="a3"/>
        <w:numPr>
          <w:ilvl w:val="0"/>
          <w:numId w:val="21"/>
        </w:numPr>
        <w:spacing w:line="440" w:lineRule="exact"/>
        <w:ind w:leftChars="0" w:left="1134" w:hanging="850"/>
        <w:rPr>
          <w:rFonts w:ascii="標楷體" w:eastAsia="標楷體" w:hAnsi="標楷體"/>
          <w:snapToGrid w:val="0"/>
          <w:spacing w:val="-14"/>
          <w:kern w:val="18"/>
          <w:sz w:val="28"/>
          <w:szCs w:val="28"/>
        </w:rPr>
      </w:pPr>
      <w:r w:rsidRPr="00626289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執行單位如有二個以上者，其分配比例依其分工合作之程度自行協</w:t>
      </w:r>
      <w:r w:rsidRPr="00CC1D2C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商分配。</w:t>
      </w:r>
    </w:p>
    <w:p w:rsidR="00246F56" w:rsidRDefault="00246F56" w:rsidP="00CC1D2C">
      <w:pPr>
        <w:pStyle w:val="a3"/>
        <w:numPr>
          <w:ilvl w:val="0"/>
          <w:numId w:val="4"/>
        </w:numPr>
        <w:spacing w:line="440" w:lineRule="exact"/>
        <w:ind w:leftChars="0" w:left="709" w:hanging="709"/>
        <w:rPr>
          <w:rFonts w:ascii="標楷體" w:eastAsia="標楷體" w:hAnsi="標楷體"/>
          <w:snapToGrid w:val="0"/>
          <w:spacing w:val="-14"/>
          <w:kern w:val="18"/>
          <w:sz w:val="28"/>
          <w:szCs w:val="28"/>
        </w:rPr>
      </w:pPr>
      <w:r w:rsidRPr="00246F56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lastRenderedPageBreak/>
        <w:t>辦理演藝業務有績效者，得於</w:t>
      </w:r>
      <w:r w:rsidRPr="00CC1D2C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當年度</w:t>
      </w:r>
      <w:proofErr w:type="gramStart"/>
      <w:r w:rsidRPr="00CC1D2C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結算後支給</w:t>
      </w:r>
      <w:proofErr w:type="gramEnd"/>
      <w:r w:rsidRPr="00CC1D2C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工作酬勞獎勵；工作酬勞獎勵</w:t>
      </w:r>
      <w:r w:rsidRPr="00246F56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辦法另訂。</w:t>
      </w:r>
    </w:p>
    <w:p w:rsidR="00A56CAA" w:rsidRPr="00A56CAA" w:rsidRDefault="00A56CAA" w:rsidP="00CC1D2C">
      <w:pPr>
        <w:pStyle w:val="a3"/>
        <w:numPr>
          <w:ilvl w:val="0"/>
          <w:numId w:val="4"/>
        </w:numPr>
        <w:spacing w:line="440" w:lineRule="exact"/>
        <w:ind w:leftChars="0" w:left="709" w:hanging="709"/>
        <w:rPr>
          <w:rFonts w:ascii="標楷體" w:eastAsia="標楷體" w:hAnsi="標楷體"/>
          <w:snapToGrid w:val="0"/>
          <w:spacing w:val="-14"/>
          <w:kern w:val="18"/>
          <w:sz w:val="28"/>
          <w:szCs w:val="28"/>
        </w:rPr>
      </w:pPr>
      <w:r w:rsidRPr="00626289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本規定</w:t>
      </w:r>
      <w:r w:rsidRPr="00CC1D2C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如有未盡事宜，</w:t>
      </w:r>
      <w:r w:rsidR="0005501A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  <w:lang w:eastAsia="zh-HK"/>
        </w:rPr>
        <w:t>參照「國立大學校院校務基金管理及監督辦法」及</w:t>
      </w:r>
      <w:r w:rsidR="0035745E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  <w:lang w:eastAsia="zh-HK"/>
        </w:rPr>
        <w:t>「</w:t>
      </w:r>
      <w:r w:rsidR="0005501A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  <w:lang w:eastAsia="zh-HK"/>
        </w:rPr>
        <w:t>國立大學校院校務基金會計制度之一致規定</w:t>
      </w:r>
      <w:r w:rsidR="0035745E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  <w:lang w:eastAsia="zh-HK"/>
        </w:rPr>
        <w:t>」</w:t>
      </w:r>
      <w:r w:rsidRPr="00CC1D2C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辦理。</w:t>
      </w:r>
    </w:p>
    <w:p w:rsidR="00A56CAA" w:rsidRPr="0035745E" w:rsidRDefault="00A56CAA" w:rsidP="00CC1D2C">
      <w:pPr>
        <w:pStyle w:val="a3"/>
        <w:numPr>
          <w:ilvl w:val="0"/>
          <w:numId w:val="4"/>
        </w:numPr>
        <w:spacing w:line="440" w:lineRule="exact"/>
        <w:ind w:leftChars="0" w:left="709" w:hanging="709"/>
        <w:rPr>
          <w:rFonts w:ascii="標楷體" w:eastAsia="標楷體" w:hAnsi="標楷體"/>
          <w:snapToGrid w:val="0"/>
          <w:spacing w:val="-14"/>
          <w:kern w:val="18"/>
          <w:sz w:val="28"/>
          <w:szCs w:val="28"/>
        </w:rPr>
      </w:pPr>
      <w:r w:rsidRPr="00CC1D2C">
        <w:rPr>
          <w:rFonts w:ascii="標楷體" w:eastAsia="標楷體" w:hAnsi="標楷體" w:hint="eastAsia"/>
          <w:snapToGrid w:val="0"/>
          <w:spacing w:val="-14"/>
          <w:kern w:val="18"/>
          <w:sz w:val="28"/>
          <w:szCs w:val="28"/>
        </w:rPr>
        <w:t>本規定經本校行政會議及校務基金管理委員會審議通過後，陳請</w:t>
      </w:r>
      <w:r w:rsidRPr="0035745E">
        <w:rPr>
          <w:rFonts w:ascii="標楷體" w:eastAsia="標楷體" w:hAnsi="標楷體" w:hint="eastAsia"/>
          <w:sz w:val="28"/>
          <w:szCs w:val="28"/>
        </w:rPr>
        <w:t>校長核定後實施，修正時亦同。</w:t>
      </w:r>
    </w:p>
    <w:sectPr w:rsidR="00A56CAA" w:rsidRPr="003574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AA" w:rsidRDefault="003E3CAA" w:rsidP="00AC6ED3">
      <w:r>
        <w:separator/>
      </w:r>
    </w:p>
  </w:endnote>
  <w:endnote w:type="continuationSeparator" w:id="0">
    <w:p w:rsidR="003E3CAA" w:rsidRDefault="003E3CAA" w:rsidP="00AC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AA" w:rsidRDefault="003E3CAA" w:rsidP="00AC6ED3">
      <w:r>
        <w:separator/>
      </w:r>
    </w:p>
  </w:footnote>
  <w:footnote w:type="continuationSeparator" w:id="0">
    <w:p w:rsidR="003E3CAA" w:rsidRDefault="003E3CAA" w:rsidP="00AC6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B5D"/>
    <w:multiLevelType w:val="hybridMultilevel"/>
    <w:tmpl w:val="918AEB5A"/>
    <w:lvl w:ilvl="0" w:tplc="3990C1A2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646D35"/>
    <w:multiLevelType w:val="hybridMultilevel"/>
    <w:tmpl w:val="80B412B4"/>
    <w:lvl w:ilvl="0" w:tplc="88163B4E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74396B"/>
    <w:multiLevelType w:val="hybridMultilevel"/>
    <w:tmpl w:val="F12836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2D6D0E"/>
    <w:multiLevelType w:val="hybridMultilevel"/>
    <w:tmpl w:val="4904A0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802C4E"/>
    <w:multiLevelType w:val="multilevel"/>
    <w:tmpl w:val="EF425BC6"/>
    <w:styleLink w:val="1"/>
    <w:lvl w:ilvl="0">
      <w:start w:val="6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D3563F"/>
    <w:multiLevelType w:val="multilevel"/>
    <w:tmpl w:val="EF425BC6"/>
    <w:numStyleLink w:val="1"/>
  </w:abstractNum>
  <w:abstractNum w:abstractNumId="6">
    <w:nsid w:val="3F196A98"/>
    <w:multiLevelType w:val="hybridMultilevel"/>
    <w:tmpl w:val="80B412B4"/>
    <w:lvl w:ilvl="0" w:tplc="88163B4E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9849F9"/>
    <w:multiLevelType w:val="hybridMultilevel"/>
    <w:tmpl w:val="1D468020"/>
    <w:lvl w:ilvl="0" w:tplc="C284D5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9D6F8B"/>
    <w:multiLevelType w:val="hybridMultilevel"/>
    <w:tmpl w:val="5D3091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BC7FBF"/>
    <w:multiLevelType w:val="hybridMultilevel"/>
    <w:tmpl w:val="A8729AD8"/>
    <w:lvl w:ilvl="0" w:tplc="F31612B4">
      <w:start w:val="1"/>
      <w:numFmt w:val="taiwaneseCountingThousand"/>
      <w:lvlText w:val="%1、"/>
      <w:lvlJc w:val="left"/>
      <w:pPr>
        <w:ind w:left="622" w:hanging="480"/>
      </w:pPr>
      <w:rPr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E15A03"/>
    <w:multiLevelType w:val="hybridMultilevel"/>
    <w:tmpl w:val="00CE5D96"/>
    <w:lvl w:ilvl="0" w:tplc="1BA6238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49E0901"/>
    <w:multiLevelType w:val="hybridMultilevel"/>
    <w:tmpl w:val="346A46DC"/>
    <w:lvl w:ilvl="0" w:tplc="76225B8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B76E80"/>
    <w:multiLevelType w:val="hybridMultilevel"/>
    <w:tmpl w:val="80B412B4"/>
    <w:lvl w:ilvl="0" w:tplc="88163B4E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D719FD"/>
    <w:multiLevelType w:val="multilevel"/>
    <w:tmpl w:val="05B407E2"/>
    <w:lvl w:ilvl="0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>
    <w:nsid w:val="645A1245"/>
    <w:multiLevelType w:val="hybridMultilevel"/>
    <w:tmpl w:val="0AF6D620"/>
    <w:lvl w:ilvl="0" w:tplc="D0667CF8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C776BA5"/>
    <w:multiLevelType w:val="hybridMultilevel"/>
    <w:tmpl w:val="EFB6D7B8"/>
    <w:lvl w:ilvl="0" w:tplc="80F004FE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F4C1362"/>
    <w:multiLevelType w:val="hybridMultilevel"/>
    <w:tmpl w:val="751AE6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2D238F"/>
    <w:multiLevelType w:val="hybridMultilevel"/>
    <w:tmpl w:val="65F60EEC"/>
    <w:lvl w:ilvl="0" w:tplc="1BA6238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AF7534"/>
    <w:multiLevelType w:val="hybridMultilevel"/>
    <w:tmpl w:val="5F2A47FC"/>
    <w:lvl w:ilvl="0" w:tplc="82DE18F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C2E3E71"/>
    <w:multiLevelType w:val="hybridMultilevel"/>
    <w:tmpl w:val="3606009A"/>
    <w:lvl w:ilvl="0" w:tplc="1BA6238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E4E3AA2"/>
    <w:multiLevelType w:val="hybridMultilevel"/>
    <w:tmpl w:val="80B412B4"/>
    <w:lvl w:ilvl="0" w:tplc="88163B4E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0"/>
  </w:num>
  <w:num w:numId="3">
    <w:abstractNumId w:val="2"/>
  </w:num>
  <w:num w:numId="4">
    <w:abstractNumId w:val="9"/>
  </w:num>
  <w:num w:numId="5">
    <w:abstractNumId w:val="3"/>
  </w:num>
  <w:num w:numId="6">
    <w:abstractNumId w:val="19"/>
  </w:num>
  <w:num w:numId="7">
    <w:abstractNumId w:val="11"/>
  </w:num>
  <w:num w:numId="8">
    <w:abstractNumId w:val="17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4"/>
  </w:num>
  <w:num w:numId="14">
    <w:abstractNumId w:val="13"/>
  </w:num>
  <w:num w:numId="15">
    <w:abstractNumId w:val="0"/>
  </w:num>
  <w:num w:numId="16">
    <w:abstractNumId w:val="18"/>
  </w:num>
  <w:num w:numId="17">
    <w:abstractNumId w:val="16"/>
  </w:num>
  <w:num w:numId="18">
    <w:abstractNumId w:val="14"/>
  </w:num>
  <w:num w:numId="19">
    <w:abstractNumId w:val="1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A5"/>
    <w:rsid w:val="0005501A"/>
    <w:rsid w:val="001B7BA5"/>
    <w:rsid w:val="002316B7"/>
    <w:rsid w:val="00246F56"/>
    <w:rsid w:val="00284858"/>
    <w:rsid w:val="0035745E"/>
    <w:rsid w:val="003C1640"/>
    <w:rsid w:val="003E3CAA"/>
    <w:rsid w:val="00464548"/>
    <w:rsid w:val="004F7E9E"/>
    <w:rsid w:val="005C5AA9"/>
    <w:rsid w:val="007E3B78"/>
    <w:rsid w:val="008A5634"/>
    <w:rsid w:val="00901916"/>
    <w:rsid w:val="00954C44"/>
    <w:rsid w:val="00A56CAA"/>
    <w:rsid w:val="00AA1D73"/>
    <w:rsid w:val="00AC6ED3"/>
    <w:rsid w:val="00C40E79"/>
    <w:rsid w:val="00CC1D2C"/>
    <w:rsid w:val="00CC3B44"/>
    <w:rsid w:val="00CE0A25"/>
    <w:rsid w:val="00E355E6"/>
    <w:rsid w:val="00F33073"/>
    <w:rsid w:val="00F456A7"/>
    <w:rsid w:val="00F7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BA5"/>
    <w:pPr>
      <w:ind w:leftChars="200" w:left="480"/>
    </w:pPr>
  </w:style>
  <w:style w:type="numbering" w:customStyle="1" w:styleId="1">
    <w:name w:val="樣式1"/>
    <w:uiPriority w:val="99"/>
    <w:rsid w:val="00246F56"/>
    <w:pPr>
      <w:numPr>
        <w:numId w:val="13"/>
      </w:numPr>
    </w:pPr>
  </w:style>
  <w:style w:type="character" w:styleId="a4">
    <w:name w:val="annotation reference"/>
    <w:basedOn w:val="a0"/>
    <w:uiPriority w:val="99"/>
    <w:semiHidden/>
    <w:unhideWhenUsed/>
    <w:rsid w:val="00C40E7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40E79"/>
  </w:style>
  <w:style w:type="character" w:customStyle="1" w:styleId="a6">
    <w:name w:val="註解文字 字元"/>
    <w:basedOn w:val="a0"/>
    <w:link w:val="a5"/>
    <w:uiPriority w:val="99"/>
    <w:semiHidden/>
    <w:rsid w:val="00C40E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40E7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40E7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40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0E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C6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C6ED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C6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C6ED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BA5"/>
    <w:pPr>
      <w:ind w:leftChars="200" w:left="480"/>
    </w:pPr>
  </w:style>
  <w:style w:type="numbering" w:customStyle="1" w:styleId="1">
    <w:name w:val="樣式1"/>
    <w:uiPriority w:val="99"/>
    <w:rsid w:val="00246F56"/>
    <w:pPr>
      <w:numPr>
        <w:numId w:val="13"/>
      </w:numPr>
    </w:pPr>
  </w:style>
  <w:style w:type="character" w:styleId="a4">
    <w:name w:val="annotation reference"/>
    <w:basedOn w:val="a0"/>
    <w:uiPriority w:val="99"/>
    <w:semiHidden/>
    <w:unhideWhenUsed/>
    <w:rsid w:val="00C40E7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40E79"/>
  </w:style>
  <w:style w:type="character" w:customStyle="1" w:styleId="a6">
    <w:name w:val="註解文字 字元"/>
    <w:basedOn w:val="a0"/>
    <w:link w:val="a5"/>
    <w:uiPriority w:val="99"/>
    <w:semiHidden/>
    <w:rsid w:val="00C40E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40E7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40E7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40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0E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C6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C6ED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C6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C6E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20150513</dc:creator>
  <cp:lastModifiedBy>20160419_win7</cp:lastModifiedBy>
  <cp:revision>2</cp:revision>
  <dcterms:created xsi:type="dcterms:W3CDTF">2017-09-11T11:19:00Z</dcterms:created>
  <dcterms:modified xsi:type="dcterms:W3CDTF">2017-09-11T11:19:00Z</dcterms:modified>
</cp:coreProperties>
</file>